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E5" w:rsidRPr="00320CE5" w:rsidRDefault="00320CE5" w:rsidP="004A178C">
      <w:pPr>
        <w:rPr>
          <w:lang w:val="en-GB"/>
        </w:rPr>
      </w:pPr>
      <w:bookmarkStart w:id="0" w:name="_GoBack"/>
      <w:bookmarkEnd w:id="0"/>
      <w:r w:rsidRPr="00320CE5">
        <w:rPr>
          <w:lang w:val="en-GB"/>
        </w:rPr>
        <w:t>1</w:t>
      </w:r>
      <w:r w:rsidR="005E1C6F">
        <w:rPr>
          <w:lang w:val="en-GB"/>
        </w:rPr>
        <w:t>8</w:t>
      </w:r>
      <w:r w:rsidRPr="00320CE5">
        <w:rPr>
          <w:lang w:val="en-GB"/>
        </w:rPr>
        <w:t xml:space="preserve"> September 2021 </w:t>
      </w:r>
    </w:p>
    <w:p w:rsidR="00320CE5" w:rsidRP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320CE5">
        <w:rPr>
          <w:rFonts w:ascii="Times New Roman" w:eastAsia="Calibri" w:hAnsi="Times New Roman" w:cs="Times New Roman"/>
          <w:b/>
          <w:sz w:val="28"/>
          <w:szCs w:val="28"/>
          <w:lang w:val="en-GB"/>
        </w:rPr>
        <w:t>Measures to improve the conduct of the electoral process</w:t>
      </w:r>
    </w:p>
    <w:p w:rsidR="00320CE5" w:rsidRP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320CE5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Agreed </w:t>
      </w:r>
      <w:r w:rsidR="00D0764C">
        <w:rPr>
          <w:rFonts w:ascii="Times New Roman" w:eastAsia="Calibri" w:hAnsi="Times New Roman" w:cs="Times New Roman"/>
          <w:b/>
          <w:sz w:val="28"/>
          <w:szCs w:val="28"/>
          <w:lang w:val="en-GB"/>
        </w:rPr>
        <w:t>by the Co-facilitators in the 2nd phase in the</w:t>
      </w:r>
      <w:r w:rsidRPr="00320CE5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 Inter-Party Dialogue </w:t>
      </w:r>
    </w:p>
    <w:p w:rsidR="00320CE5" w:rsidRP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320CE5">
        <w:rPr>
          <w:rFonts w:ascii="Times New Roman" w:eastAsia="Calibri" w:hAnsi="Times New Roman" w:cs="Times New Roman"/>
          <w:b/>
          <w:sz w:val="28"/>
          <w:szCs w:val="28"/>
          <w:lang w:val="en-GB"/>
        </w:rPr>
        <w:t>18 September 2021</w:t>
      </w:r>
    </w:p>
    <w:p w:rsidR="00320CE5" w:rsidRP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320CE5" w:rsidRPr="00320CE5" w:rsidRDefault="00320CE5" w:rsidP="00320CE5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320CE5">
        <w:rPr>
          <w:rFonts w:ascii="Times New Roman" w:eastAsia="Calibri" w:hAnsi="Times New Roman" w:cs="Times New Roman"/>
          <w:lang w:val="en-GB"/>
        </w:rPr>
        <w:t xml:space="preserve"> </w:t>
      </w:r>
    </w:p>
    <w:p w:rsidR="00320CE5" w:rsidRPr="00320CE5" w:rsidRDefault="00320CE5" w:rsidP="00320CE5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245"/>
        <w:gridCol w:w="3510"/>
        <w:gridCol w:w="3265"/>
      </w:tblGrid>
      <w:tr w:rsidR="00320CE5" w:rsidRPr="00320CE5" w:rsidTr="00C70D60">
        <w:trPr>
          <w:trHeight w:val="337"/>
        </w:trPr>
        <w:tc>
          <w:tcPr>
            <w:tcW w:w="436" w:type="dxa"/>
            <w:shd w:val="clear" w:color="auto" w:fill="E7E6E6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5" w:type="dxa"/>
            <w:shd w:val="clear" w:color="auto" w:fill="E7E6E6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Measure </w:t>
            </w:r>
          </w:p>
        </w:tc>
        <w:tc>
          <w:tcPr>
            <w:tcW w:w="3510" w:type="dxa"/>
            <w:shd w:val="clear" w:color="auto" w:fill="E7E6E6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Implementation path </w:t>
            </w:r>
          </w:p>
        </w:tc>
        <w:tc>
          <w:tcPr>
            <w:tcW w:w="3265" w:type="dxa"/>
            <w:shd w:val="clear" w:color="auto" w:fill="E7E6E6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Competent authority </w:t>
            </w:r>
          </w:p>
        </w:tc>
      </w:tr>
      <w:tr w:rsidR="00320CE5" w:rsidRPr="00320CE5" w:rsidTr="00C70D60">
        <w:trPr>
          <w:trHeight w:val="558"/>
        </w:trPr>
        <w:tc>
          <w:tcPr>
            <w:tcW w:w="436" w:type="dxa"/>
          </w:tcPr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04053" w:rsidRPr="00320CE5" w:rsidRDefault="00304053" w:rsidP="00304053">
            <w:pPr>
              <w:jc w:val="both"/>
              <w:rPr>
                <w:rFonts w:ascii="Times New Roman" w:eastAsia="Calibri" w:hAnsi="Times New Roman"/>
                <w:b/>
              </w:rPr>
            </w:pPr>
            <w:r w:rsidRPr="00320CE5">
              <w:rPr>
                <w:rFonts w:ascii="Times New Roman" w:eastAsia="Calibri" w:hAnsi="Times New Roman"/>
                <w:b/>
              </w:rPr>
              <w:t xml:space="preserve">Establishment of a </w:t>
            </w:r>
            <w:r>
              <w:rPr>
                <w:rFonts w:ascii="Times New Roman" w:eastAsia="Calibri" w:hAnsi="Times New Roman"/>
                <w:b/>
              </w:rPr>
              <w:t>T</w:t>
            </w:r>
            <w:r w:rsidRPr="00320CE5">
              <w:rPr>
                <w:rFonts w:ascii="Times New Roman" w:eastAsia="Calibri" w:hAnsi="Times New Roman"/>
                <w:b/>
              </w:rPr>
              <w:t xml:space="preserve">emporary </w:t>
            </w:r>
            <w:r>
              <w:rPr>
                <w:rFonts w:ascii="Times New Roman" w:eastAsia="Calibri" w:hAnsi="Times New Roman"/>
                <w:b/>
              </w:rPr>
              <w:t>S</w:t>
            </w:r>
            <w:r w:rsidRPr="00320CE5">
              <w:rPr>
                <w:rFonts w:ascii="Times New Roman" w:eastAsia="Calibri" w:hAnsi="Times New Roman"/>
                <w:b/>
              </w:rPr>
              <w:t xml:space="preserve">upervisory </w:t>
            </w:r>
            <w:r>
              <w:rPr>
                <w:rFonts w:ascii="Times New Roman" w:eastAsia="Calibri" w:hAnsi="Times New Roman"/>
                <w:b/>
              </w:rPr>
              <w:t>B</w:t>
            </w:r>
            <w:r w:rsidRPr="00320CE5">
              <w:rPr>
                <w:rFonts w:ascii="Times New Roman" w:eastAsia="Calibri" w:hAnsi="Times New Roman"/>
                <w:b/>
              </w:rPr>
              <w:t>ody.</w:t>
            </w:r>
          </w:p>
          <w:p w:rsidR="00304053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  <w:i/>
              </w:rPr>
              <w:t>Composition</w:t>
            </w:r>
            <w:r w:rsidRPr="00320CE5">
              <w:rPr>
                <w:rFonts w:ascii="Times New Roman" w:eastAsia="Calibri" w:hAnsi="Times New Roman"/>
              </w:rPr>
              <w:t>: Its composition should ensure political pluralism and professional expertise.</w:t>
            </w:r>
            <w:r>
              <w:rPr>
                <w:rFonts w:ascii="Times New Roman" w:eastAsia="Calibri" w:hAnsi="Times New Roman"/>
              </w:rPr>
              <w:t xml:space="preserve"> Format:  </w:t>
            </w:r>
            <w:r w:rsidRPr="000F6090">
              <w:rPr>
                <w:rFonts w:ascii="Times New Roman" w:eastAsia="Calibri" w:hAnsi="Times New Roman"/>
              </w:rPr>
              <w:t>6+6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  <w:p w:rsidR="00EB2DCE" w:rsidRPr="000F6090" w:rsidRDefault="00EB2DCE" w:rsidP="0030405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Six members are proposed by the Regulatory Authority for Electronic Media (REM), and the remaining six members</w:t>
            </w:r>
            <w:r w:rsidR="009C794E">
              <w:rPr>
                <w:rFonts w:ascii="Times New Roman" w:eastAsia="Calibri" w:hAnsi="Times New Roman"/>
              </w:rPr>
              <w:t xml:space="preserve"> (3+3 format).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282FBA">
              <w:rPr>
                <w:rFonts w:ascii="Times New Roman" w:eastAsia="Calibri" w:hAnsi="Times New Roman"/>
              </w:rPr>
              <w:t xml:space="preserve">are proposed </w:t>
            </w:r>
            <w:r w:rsidR="009C794E">
              <w:rPr>
                <w:rFonts w:ascii="Times New Roman" w:eastAsia="Calibri" w:hAnsi="Times New Roman"/>
              </w:rPr>
              <w:t>by the Speaker of the National Assembly after consultation with IPD co-facilitators.</w:t>
            </w:r>
          </w:p>
          <w:p w:rsidR="00304053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Competences</w:t>
            </w:r>
            <w:r>
              <w:rPr>
                <w:rFonts w:ascii="Times New Roman" w:eastAsia="Calibri" w:hAnsi="Times New Roman"/>
              </w:rPr>
              <w:t>: media m</w:t>
            </w:r>
            <w:r w:rsidRPr="00F331E9">
              <w:rPr>
                <w:rFonts w:ascii="Times New Roman" w:eastAsia="Calibri" w:hAnsi="Times New Roman"/>
              </w:rPr>
              <w:t>onitoring</w:t>
            </w:r>
            <w:r>
              <w:rPr>
                <w:rFonts w:ascii="Times New Roman" w:eastAsia="Calibri" w:hAnsi="Times New Roman"/>
              </w:rPr>
              <w:t>,</w:t>
            </w:r>
            <w:r w:rsidRPr="00F331E9">
              <w:rPr>
                <w:rFonts w:ascii="Times New Roman" w:eastAsia="Calibri" w:hAnsi="Times New Roman"/>
              </w:rPr>
              <w:t xml:space="preserve"> consultation</w:t>
            </w:r>
            <w:r>
              <w:rPr>
                <w:rFonts w:ascii="Times New Roman" w:eastAsia="Calibri" w:hAnsi="Times New Roman"/>
              </w:rPr>
              <w:t>,</w:t>
            </w:r>
            <w:r w:rsidRPr="00F331E9">
              <w:rPr>
                <w:rFonts w:ascii="Times New Roman" w:eastAsia="Calibri" w:hAnsi="Times New Roman"/>
              </w:rPr>
              <w:t xml:space="preserve"> report </w:t>
            </w:r>
            <w:r>
              <w:rPr>
                <w:rFonts w:ascii="Times New Roman" w:eastAsia="Calibri" w:hAnsi="Times New Roman"/>
              </w:rPr>
              <w:t>on</w:t>
            </w:r>
            <w:r w:rsidRPr="00F331E9">
              <w:rPr>
                <w:rFonts w:ascii="Times New Roman" w:eastAsia="Calibri" w:hAnsi="Times New Roman"/>
              </w:rPr>
              <w:t xml:space="preserve"> RTS and RTV</w:t>
            </w:r>
            <w:r w:rsidR="00A457CE">
              <w:rPr>
                <w:rFonts w:ascii="Times New Roman" w:eastAsia="Calibri" w:hAnsi="Times New Roman"/>
              </w:rPr>
              <w:t xml:space="preserve"> rulebook implementation and on recommendations for private broadcasters</w:t>
            </w:r>
            <w:r>
              <w:rPr>
                <w:rFonts w:ascii="Times New Roman" w:eastAsia="Calibri" w:hAnsi="Times New Roman"/>
              </w:rPr>
              <w:t xml:space="preserve"> issue opinions of the work of the independent institutions and their decisions. </w:t>
            </w:r>
          </w:p>
          <w:p w:rsidR="00304053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Inform public on its assessment and work, monitor the use of the recommendation for private national broadcasters. </w:t>
            </w:r>
          </w:p>
          <w:p w:rsidR="00320CE5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Organize regular press conferences.</w:t>
            </w: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04053" w:rsidRPr="00FE2F9F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FE2F9F">
              <w:rPr>
                <w:rFonts w:ascii="Times New Roman" w:eastAsia="Calibri" w:hAnsi="Times New Roman"/>
              </w:rPr>
              <w:t xml:space="preserve">Formation of the ad hoc body made by the Ministry of Culture and Information. </w:t>
            </w:r>
          </w:p>
          <w:p w:rsidR="00304053" w:rsidRPr="00FE2F9F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Pr="00FE2F9F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FE2F9F">
              <w:rPr>
                <w:rFonts w:ascii="Times New Roman" w:eastAsia="Calibri" w:hAnsi="Times New Roman"/>
              </w:rPr>
              <w:t>No one who is a candidate on any electoral list can be a member of this body.</w:t>
            </w:r>
          </w:p>
          <w:p w:rsidR="00304053" w:rsidRPr="00FE2F9F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Pr="00FE2F9F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FE2F9F">
              <w:rPr>
                <w:rFonts w:ascii="Times New Roman" w:eastAsia="Calibri" w:hAnsi="Times New Roman"/>
              </w:rPr>
              <w:t>Realistic timeframe for hav</w:t>
            </w:r>
            <w:r w:rsidR="00A457CE">
              <w:rPr>
                <w:rFonts w:ascii="Times New Roman" w:eastAsia="Calibri" w:hAnsi="Times New Roman"/>
              </w:rPr>
              <w:t>ing an operational body is 30</w:t>
            </w:r>
            <w:r w:rsidRPr="00FE2F9F">
              <w:rPr>
                <w:rFonts w:ascii="Times New Roman" w:eastAsia="Calibri" w:hAnsi="Times New Roman"/>
              </w:rPr>
              <w:t xml:space="preserve"> days </w:t>
            </w:r>
            <w:r w:rsidR="00A457CE">
              <w:rPr>
                <w:rFonts w:ascii="Times New Roman" w:eastAsia="Calibri" w:hAnsi="Times New Roman"/>
              </w:rPr>
              <w:t>following the 2nd round of the 2nd phase of the IPD.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:rsidR="00304053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Government</w:t>
            </w:r>
            <w:r>
              <w:rPr>
                <w:rFonts w:ascii="Times New Roman" w:eastAsia="Calibri" w:hAnsi="Times New Roman"/>
              </w:rPr>
              <w:t xml:space="preserve"> to secure the necessary budget for its functioning.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:rsidTr="00C70D60">
        <w:trPr>
          <w:trHeight w:val="836"/>
        </w:trPr>
        <w:tc>
          <w:tcPr>
            <w:tcW w:w="436" w:type="dxa"/>
          </w:tcPr>
          <w:p w:rsidR="00320CE5" w:rsidRPr="00320CE5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544AA3">
              <w:rPr>
                <w:rFonts w:ascii="Times New Roman" w:eastAsia="Calibri" w:hAnsi="Times New Roman"/>
                <w:b/>
                <w:bCs/>
              </w:rPr>
              <w:t xml:space="preserve">Adoption of a </w:t>
            </w:r>
            <w:r w:rsidRPr="00320CE5">
              <w:rPr>
                <w:rFonts w:ascii="Times New Roman" w:eastAsia="Calibri" w:hAnsi="Times New Roman"/>
                <w:b/>
              </w:rPr>
              <w:t>binding rulebook</w:t>
            </w:r>
            <w:r w:rsidRPr="00320CE5">
              <w:rPr>
                <w:rFonts w:ascii="Times New Roman" w:eastAsia="Calibri" w:hAnsi="Times New Roman"/>
              </w:rPr>
              <w:t xml:space="preserve"> for the National Public Broadcaster (RTS and RTV) </w:t>
            </w:r>
            <w:r w:rsidRPr="00544AA3">
              <w:rPr>
                <w:rFonts w:ascii="Times New Roman" w:eastAsia="Calibri" w:hAnsi="Times New Roman"/>
                <w:bCs/>
              </w:rPr>
              <w:t>to better regulate the election campaign coverage</w:t>
            </w:r>
            <w:r w:rsidRPr="00320CE5">
              <w:rPr>
                <w:rFonts w:ascii="Times New Roman" w:eastAsia="Calibri" w:hAnsi="Times New Roman"/>
              </w:rPr>
              <w:t xml:space="preserve">. </w:t>
            </w:r>
          </w:p>
          <w:p w:rsidR="00320CE5" w:rsidRPr="000F6090" w:rsidRDefault="00320CE5" w:rsidP="000F6090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In line with the ODIHR recommendations and the legal framework</w:t>
            </w:r>
            <w:r w:rsidR="000F6090">
              <w:rPr>
                <w:rFonts w:ascii="Times New Roman" w:eastAsia="Calibri" w:hAnsi="Times New Roman"/>
              </w:rPr>
              <w:t>,</w:t>
            </w:r>
            <w:r w:rsidRPr="00320CE5">
              <w:rPr>
                <w:rFonts w:ascii="Times New Roman" w:eastAsia="Calibri" w:hAnsi="Times New Roman"/>
              </w:rPr>
              <w:t xml:space="preserve"> the adoption of the rulebook for the RTS should be followed by public consultation </w:t>
            </w:r>
            <w:r w:rsidR="00EA3467">
              <w:rPr>
                <w:rFonts w:ascii="Times New Roman" w:eastAsia="Calibri" w:hAnsi="Times New Roman"/>
              </w:rPr>
              <w:t xml:space="preserve">and the draft to be consulted with the Temporary Supervisory </w:t>
            </w:r>
            <w:r w:rsidR="008C6520">
              <w:rPr>
                <w:rFonts w:ascii="Times New Roman" w:eastAsia="Calibri" w:hAnsi="Times New Roman"/>
              </w:rPr>
              <w:t>Body</w:t>
            </w:r>
            <w:r w:rsidR="000F6090">
              <w:rPr>
                <w:rFonts w:ascii="Times New Roman" w:eastAsia="Calibri" w:hAnsi="Times New Roman"/>
              </w:rPr>
              <w:t>.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  <w:r w:rsidRPr="00320CE5">
              <w:rPr>
                <w:rFonts w:ascii="Times New Roman" w:eastAsia="Calibri" w:hAnsi="Times New Roman"/>
                <w:color w:val="4472C4" w:themeColor="accent1"/>
              </w:rPr>
              <w:t xml:space="preserve">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The procedure of adoption of the Rulebook to be completed</w:t>
            </w:r>
            <w:r w:rsidR="00282FBA">
              <w:rPr>
                <w:rFonts w:ascii="Times New Roman" w:eastAsia="Calibri" w:hAnsi="Times New Roman"/>
              </w:rPr>
              <w:t xml:space="preserve"> </w:t>
            </w:r>
            <w:r w:rsidRPr="00320CE5">
              <w:rPr>
                <w:rFonts w:ascii="Times New Roman" w:eastAsia="Calibri" w:hAnsi="Times New Roman"/>
              </w:rPr>
              <w:t xml:space="preserve">within 30 days following the </w:t>
            </w:r>
            <w:r w:rsidR="00EA3467">
              <w:rPr>
                <w:rFonts w:ascii="Times New Roman" w:eastAsia="Calibri" w:hAnsi="Times New Roman"/>
              </w:rPr>
              <w:t>creation of the Temporary Supervisory Bo</w:t>
            </w:r>
            <w:r w:rsidR="008C6520">
              <w:rPr>
                <w:rFonts w:ascii="Times New Roman" w:eastAsia="Calibri" w:hAnsi="Times New Roman"/>
              </w:rPr>
              <w:t xml:space="preserve">dy. </w:t>
            </w:r>
            <w:r w:rsidR="00EA346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Regulatory Body for Electronic Media </w:t>
            </w:r>
            <w:r w:rsidR="000F6090">
              <w:rPr>
                <w:rFonts w:ascii="Times New Roman" w:eastAsia="Calibri" w:hAnsi="Times New Roman"/>
              </w:rPr>
              <w:t>in</w:t>
            </w:r>
            <w:r w:rsidR="00EA3467">
              <w:rPr>
                <w:rFonts w:ascii="Times New Roman" w:eastAsia="Calibri" w:hAnsi="Times New Roman"/>
              </w:rPr>
              <w:t xml:space="preserve"> consultation with the</w:t>
            </w:r>
            <w:r w:rsidR="000F6090">
              <w:rPr>
                <w:rFonts w:ascii="Times New Roman" w:eastAsia="Calibri" w:hAnsi="Times New Roman"/>
              </w:rPr>
              <w:t xml:space="preserve"> remaining members of the</w:t>
            </w:r>
            <w:r w:rsidR="00EA3467">
              <w:rPr>
                <w:rFonts w:ascii="Times New Roman" w:eastAsia="Calibri" w:hAnsi="Times New Roman"/>
              </w:rPr>
              <w:t xml:space="preserve"> Temporary Supervisory B</w:t>
            </w:r>
            <w:r w:rsidR="008C6520">
              <w:rPr>
                <w:rFonts w:ascii="Times New Roman" w:eastAsia="Calibri" w:hAnsi="Times New Roman"/>
              </w:rPr>
              <w:t>ody</w:t>
            </w:r>
            <w:r w:rsidR="00EA3467">
              <w:rPr>
                <w:rFonts w:ascii="Times New Roman" w:eastAsia="Calibri" w:hAnsi="Times New Roman"/>
              </w:rPr>
              <w:t xml:space="preserve">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304053" w:rsidRPr="00320CE5" w:rsidTr="00C70D60">
        <w:trPr>
          <w:trHeight w:val="836"/>
        </w:trPr>
        <w:tc>
          <w:tcPr>
            <w:tcW w:w="436" w:type="dxa"/>
          </w:tcPr>
          <w:p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245" w:type="dxa"/>
          </w:tcPr>
          <w:p w:rsidR="00304053" w:rsidRPr="00320CE5" w:rsidRDefault="00304053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  <w:r w:rsidRPr="00544AA3">
              <w:rPr>
                <w:rFonts w:ascii="Times New Roman" w:eastAsia="Calibri" w:hAnsi="Times New Roman"/>
                <w:b/>
                <w:bCs/>
              </w:rPr>
              <w:t>All media</w:t>
            </w:r>
            <w:r w:rsidRPr="00320CE5">
              <w:rPr>
                <w:rFonts w:ascii="Times New Roman" w:eastAsia="Calibri" w:hAnsi="Times New Roman"/>
              </w:rPr>
              <w:t xml:space="preserve"> </w:t>
            </w:r>
            <w:r w:rsidRPr="00320CE5">
              <w:rPr>
                <w:rFonts w:ascii="Times New Roman" w:eastAsia="Calibri" w:hAnsi="Times New Roman"/>
                <w:b/>
              </w:rPr>
              <w:t xml:space="preserve">shall be required to publish their political </w:t>
            </w:r>
            <w:r w:rsidRPr="00320CE5">
              <w:rPr>
                <w:rFonts w:ascii="Times New Roman" w:eastAsia="Calibri" w:hAnsi="Times New Roman"/>
                <w:b/>
              </w:rPr>
              <w:lastRenderedPageBreak/>
              <w:t>advertising rates before the election campaign starts.</w:t>
            </w:r>
          </w:p>
        </w:tc>
        <w:tc>
          <w:tcPr>
            <w:tcW w:w="3510" w:type="dxa"/>
          </w:tcPr>
          <w:p w:rsidR="00304053" w:rsidRPr="00320CE5" w:rsidRDefault="00AF61E5" w:rsidP="00304053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  <w:r>
              <w:rPr>
                <w:rFonts w:ascii="Times New Roman" w:eastAsia="Calibri" w:hAnsi="Times New Roman"/>
              </w:rPr>
              <w:lastRenderedPageBreak/>
              <w:t>Amend the Law on Electronic Media</w:t>
            </w:r>
          </w:p>
          <w:p w:rsidR="00304053" w:rsidRDefault="00304053" w:rsidP="00304053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:rsidR="00304053" w:rsidRPr="00320CE5" w:rsidRDefault="00304053" w:rsidP="00EB2DCE">
            <w:pPr>
              <w:jc w:val="both"/>
              <w:rPr>
                <w:rFonts w:ascii="Times New Roman" w:eastAsia="Calibri" w:hAnsi="Times New Roman"/>
                <w:color w:val="7030A0"/>
              </w:rPr>
            </w:pPr>
            <w:r w:rsidRPr="00320CE5">
              <w:rPr>
                <w:rFonts w:ascii="Times New Roman" w:eastAsia="Calibri" w:hAnsi="Times New Roman"/>
              </w:rPr>
              <w:lastRenderedPageBreak/>
              <w:t xml:space="preserve">Timeframe for finalizing the law changes and entry into force not to be longer than </w:t>
            </w:r>
            <w:r w:rsidR="00EB2DCE">
              <w:rPr>
                <w:rFonts w:ascii="Times New Roman" w:eastAsia="Calibri" w:hAnsi="Times New Roman"/>
              </w:rPr>
              <w:t>60</w:t>
            </w:r>
            <w:r w:rsidRPr="00320CE5">
              <w:rPr>
                <w:rFonts w:ascii="Times New Roman" w:eastAsia="Calibri" w:hAnsi="Times New Roman"/>
              </w:rPr>
              <w:t xml:space="preserve"> days following the second round of the IPD.</w:t>
            </w:r>
          </w:p>
        </w:tc>
        <w:tc>
          <w:tcPr>
            <w:tcW w:w="3265" w:type="dxa"/>
          </w:tcPr>
          <w:p w:rsidR="00304053" w:rsidRPr="000F6090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 w:rsidRPr="000F6090">
              <w:rPr>
                <w:rFonts w:ascii="Times New Roman" w:eastAsia="Calibri" w:hAnsi="Times New Roman"/>
              </w:rPr>
              <w:lastRenderedPageBreak/>
              <w:t xml:space="preserve">Ministry of </w:t>
            </w:r>
            <w:r w:rsidR="00AF61E5">
              <w:rPr>
                <w:rFonts w:ascii="Times New Roman" w:eastAsia="Calibri" w:hAnsi="Times New Roman"/>
              </w:rPr>
              <w:t>Culture and Information</w:t>
            </w:r>
            <w:r>
              <w:rPr>
                <w:rFonts w:ascii="Times New Roman" w:eastAsia="Calibri" w:hAnsi="Times New Roman"/>
              </w:rPr>
              <w:t xml:space="preserve"> of the Republic of Serbia. </w:t>
            </w:r>
          </w:p>
          <w:p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:rsidTr="00C70D60">
        <w:trPr>
          <w:trHeight w:val="2370"/>
        </w:trPr>
        <w:tc>
          <w:tcPr>
            <w:tcW w:w="436" w:type="dxa"/>
          </w:tcPr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544AA3">
              <w:rPr>
                <w:rFonts w:ascii="Times New Roman" w:eastAsia="Calibri" w:hAnsi="Times New Roman"/>
                <w:b/>
                <w:bCs/>
              </w:rPr>
              <w:t>Adoption of</w:t>
            </w:r>
            <w:r w:rsidRPr="00320CE5">
              <w:rPr>
                <w:rFonts w:ascii="Times New Roman" w:eastAsia="Calibri" w:hAnsi="Times New Roman"/>
                <w:b/>
              </w:rPr>
              <w:t xml:space="preserve"> recommendations for private national broad</w:t>
            </w:r>
            <w:r w:rsidR="00544AA3">
              <w:rPr>
                <w:rFonts w:ascii="Times New Roman" w:eastAsia="Calibri" w:hAnsi="Times New Roman"/>
                <w:b/>
              </w:rPr>
              <w:t>-</w:t>
            </w:r>
            <w:r w:rsidRPr="00320CE5">
              <w:rPr>
                <w:rFonts w:ascii="Times New Roman" w:eastAsia="Calibri" w:hAnsi="Times New Roman"/>
                <w:b/>
              </w:rPr>
              <w:t>casters</w:t>
            </w:r>
            <w:r w:rsidRPr="00320CE5">
              <w:rPr>
                <w:rFonts w:ascii="Times New Roman" w:eastAsia="Calibri" w:hAnsi="Times New Roman"/>
              </w:rPr>
              <w:t>, both terrestrial and via cable.</w:t>
            </w:r>
            <w:r w:rsidR="00EB2DCE">
              <w:rPr>
                <w:rFonts w:ascii="Times New Roman" w:eastAsia="Calibri" w:hAnsi="Times New Roman"/>
              </w:rPr>
              <w:t xml:space="preserve"> These recommendations refer to</w:t>
            </w:r>
            <w:r w:rsidR="00282FBA">
              <w:rPr>
                <w:rFonts w:ascii="Times New Roman" w:eastAsia="Calibri" w:hAnsi="Times New Roman"/>
              </w:rPr>
              <w:t xml:space="preserve"> </w:t>
            </w:r>
            <w:r w:rsidR="00EB2DCE">
              <w:rPr>
                <w:rFonts w:ascii="Times New Roman" w:eastAsia="Calibri" w:hAnsi="Times New Roman"/>
              </w:rPr>
              <w:t>presentation of electoral lists’ and candidates’ programmes during the election campaign.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Recommendation to be prepared </w:t>
            </w:r>
            <w:r w:rsidR="00D40F96">
              <w:rPr>
                <w:rFonts w:ascii="Times New Roman" w:eastAsia="Calibri" w:hAnsi="Times New Roman"/>
              </w:rPr>
              <w:t xml:space="preserve">by consultation with the Temporary Supervisory Body </w:t>
            </w:r>
            <w:r w:rsidRPr="00320CE5">
              <w:rPr>
                <w:rFonts w:ascii="Times New Roman" w:eastAsia="Calibri" w:hAnsi="Times New Roman"/>
              </w:rPr>
              <w:t>within 15 days follow</w:t>
            </w:r>
            <w:r w:rsidR="00D40F96">
              <w:rPr>
                <w:rFonts w:ascii="Times New Roman" w:eastAsia="Calibri" w:hAnsi="Times New Roman"/>
              </w:rPr>
              <w:t xml:space="preserve">ing </w:t>
            </w:r>
            <w:r w:rsidRPr="00320CE5">
              <w:rPr>
                <w:rFonts w:ascii="Times New Roman" w:eastAsia="Calibri" w:hAnsi="Times New Roman"/>
              </w:rPr>
              <w:t>the</w:t>
            </w:r>
            <w:r w:rsidR="00D40F96">
              <w:rPr>
                <w:rFonts w:ascii="Times New Roman" w:eastAsia="Calibri" w:hAnsi="Times New Roman"/>
              </w:rPr>
              <w:t xml:space="preserve"> creation of the Temporary Supervisory Body. </w:t>
            </w: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Regulatory Body for Electronic Media (REM) </w:t>
            </w:r>
            <w:r w:rsidR="00D40F96">
              <w:rPr>
                <w:rFonts w:ascii="Times New Roman" w:eastAsia="Calibri" w:hAnsi="Times New Roman"/>
              </w:rPr>
              <w:t xml:space="preserve">with prior consultation </w:t>
            </w:r>
            <w:r w:rsidR="002573F9">
              <w:rPr>
                <w:rFonts w:ascii="Times New Roman" w:eastAsia="Calibri" w:hAnsi="Times New Roman"/>
              </w:rPr>
              <w:t>of</w:t>
            </w:r>
            <w:r w:rsidR="00D40F96">
              <w:rPr>
                <w:rFonts w:ascii="Times New Roman" w:eastAsia="Calibri" w:hAnsi="Times New Roman"/>
              </w:rPr>
              <w:t xml:space="preserve"> the Temporary</w:t>
            </w:r>
            <w:r w:rsidR="00D40F96">
              <w:t xml:space="preserve"> </w:t>
            </w:r>
            <w:r w:rsidR="00D40F96" w:rsidRPr="00D40F96">
              <w:rPr>
                <w:rFonts w:ascii="Times New Roman" w:eastAsia="Calibri" w:hAnsi="Times New Roman"/>
              </w:rPr>
              <w:t>Supervisory Body.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D40F96">
            <w:pPr>
              <w:jc w:val="both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320CE5" w:rsidRPr="00320CE5" w:rsidTr="00C70D60">
        <w:trPr>
          <w:trHeight w:val="744"/>
        </w:trPr>
        <w:tc>
          <w:tcPr>
            <w:tcW w:w="436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6B62">
            <w:pPr>
              <w:jc w:val="both"/>
              <w:rPr>
                <w:rFonts w:ascii="Times New Roman" w:eastAsia="Calibri" w:hAnsi="Times New Roman"/>
              </w:rPr>
            </w:pPr>
            <w:r w:rsidRPr="00544AA3">
              <w:rPr>
                <w:rFonts w:ascii="Times New Roman" w:eastAsia="Calibri" w:hAnsi="Times New Roman"/>
                <w:b/>
                <w:bCs/>
              </w:rPr>
              <w:t xml:space="preserve">Defining methodology of media monitoring </w:t>
            </w:r>
            <w:r w:rsidRPr="00320CE5">
              <w:rPr>
                <w:rFonts w:ascii="Times New Roman" w:eastAsia="Calibri" w:hAnsi="Times New Roman"/>
              </w:rPr>
              <w:t xml:space="preserve">during the election </w:t>
            </w:r>
            <w:r w:rsidR="00544AA3">
              <w:rPr>
                <w:rFonts w:ascii="Times New Roman" w:eastAsia="Calibri" w:hAnsi="Times New Roman"/>
              </w:rPr>
              <w:t xml:space="preserve">campaign </w:t>
            </w:r>
            <w:r w:rsidRPr="00320CE5">
              <w:rPr>
                <w:rFonts w:ascii="Times New Roman" w:eastAsia="Calibri" w:hAnsi="Times New Roman"/>
              </w:rPr>
              <w:t>that will ensure trust and transparency of the monitoring and will be based on</w:t>
            </w:r>
            <w:r w:rsidR="00326B62">
              <w:rPr>
                <w:rFonts w:ascii="Times New Roman" w:eastAsia="Calibri" w:hAnsi="Times New Roman"/>
              </w:rPr>
              <w:t xml:space="preserve"> </w:t>
            </w:r>
            <w:r w:rsidRPr="00544AA3">
              <w:rPr>
                <w:rFonts w:ascii="Times New Roman" w:eastAsia="Calibri" w:hAnsi="Times New Roman"/>
                <w:bCs/>
              </w:rPr>
              <w:t>quantitative and qualitative parameters</w:t>
            </w:r>
            <w:r w:rsidRPr="00320CE5">
              <w:rPr>
                <w:rFonts w:ascii="Times New Roman" w:eastAsia="Calibri" w:hAnsi="Times New Roman"/>
              </w:rPr>
              <w:t>,</w:t>
            </w:r>
            <w:r w:rsidR="00326B62">
              <w:rPr>
                <w:rFonts w:ascii="Times New Roman" w:eastAsia="Calibri" w:hAnsi="Times New Roman"/>
              </w:rPr>
              <w:t xml:space="preserve"> </w:t>
            </w:r>
            <w:r w:rsidRPr="00320CE5">
              <w:rPr>
                <w:rFonts w:ascii="Times New Roman" w:eastAsia="Calibri" w:hAnsi="Times New Roman"/>
              </w:rPr>
              <w:t xml:space="preserve">which will reflect the tonality of the reporting and the nature of the broadcasters. </w:t>
            </w:r>
          </w:p>
          <w:p w:rsidR="00320CE5" w:rsidRPr="00320CE5" w:rsidRDefault="00320CE5" w:rsidP="00320CE5">
            <w:pPr>
              <w:ind w:left="720"/>
              <w:contextualSpacing/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6B62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The methodology shall be determined in a </w:t>
            </w:r>
            <w:r w:rsidRPr="00544AA3">
              <w:rPr>
                <w:rFonts w:ascii="Times New Roman" w:eastAsia="Calibri" w:hAnsi="Times New Roman"/>
              </w:rPr>
              <w:t>transparent process</w:t>
            </w:r>
            <w:r w:rsidRPr="00320CE5">
              <w:rPr>
                <w:rFonts w:ascii="Times New Roman" w:eastAsia="Calibri" w:hAnsi="Times New Roman"/>
              </w:rPr>
              <w:t xml:space="preserve"> by the competent body </w:t>
            </w:r>
            <w:r w:rsidR="00326B62">
              <w:rPr>
                <w:rFonts w:ascii="Times New Roman" w:eastAsia="Calibri" w:hAnsi="Times New Roman"/>
              </w:rPr>
              <w:t xml:space="preserve">following consultations with the relevant institutions, authorities, bodies and organizations.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:rsidR="00150DC1" w:rsidRDefault="00150DC1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150DC1" w:rsidRDefault="00150DC1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Methodology </w:t>
            </w:r>
            <w:r w:rsidRPr="00150DC1">
              <w:rPr>
                <w:rFonts w:ascii="Times New Roman" w:eastAsia="Calibri" w:hAnsi="Times New Roman"/>
              </w:rPr>
              <w:t xml:space="preserve">to be prepared by consultation </w:t>
            </w:r>
            <w:r w:rsidR="00326B62">
              <w:rPr>
                <w:rFonts w:ascii="Times New Roman" w:eastAsia="Calibri" w:hAnsi="Times New Roman"/>
              </w:rPr>
              <w:t>in consultation with</w:t>
            </w:r>
            <w:r w:rsidRPr="00150DC1">
              <w:rPr>
                <w:rFonts w:ascii="Times New Roman" w:eastAsia="Calibri" w:hAnsi="Times New Roman"/>
              </w:rPr>
              <w:t xml:space="preserve"> the Temporary Supervisory Body within </w:t>
            </w:r>
            <w:r>
              <w:rPr>
                <w:rFonts w:ascii="Times New Roman" w:eastAsia="Calibri" w:hAnsi="Times New Roman"/>
              </w:rPr>
              <w:t xml:space="preserve">30 </w:t>
            </w:r>
            <w:r w:rsidRPr="00150DC1">
              <w:rPr>
                <w:rFonts w:ascii="Times New Roman" w:eastAsia="Calibri" w:hAnsi="Times New Roman"/>
              </w:rPr>
              <w:t>days following the creation of the Temporary Supervisory Body</w:t>
            </w:r>
            <w:r>
              <w:rPr>
                <w:rFonts w:ascii="Times New Roman" w:eastAsia="Calibri" w:hAnsi="Times New Roman"/>
              </w:rPr>
              <w:t xml:space="preserve"> and </w:t>
            </w:r>
            <w:r w:rsidR="00350024">
              <w:rPr>
                <w:rFonts w:ascii="Times New Roman" w:eastAsia="Calibri" w:hAnsi="Times New Roman"/>
              </w:rPr>
              <w:t xml:space="preserve">in line with the best </w:t>
            </w:r>
            <w:r w:rsidR="00022F5F">
              <w:rPr>
                <w:rFonts w:ascii="Times New Roman" w:eastAsia="Calibri" w:hAnsi="Times New Roman"/>
              </w:rPr>
              <w:t>European</w:t>
            </w:r>
            <w:r w:rsidR="00350024">
              <w:rPr>
                <w:rFonts w:ascii="Times New Roman" w:eastAsia="Calibri" w:hAnsi="Times New Roman"/>
              </w:rPr>
              <w:t xml:space="preserve"> practices.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Regulatory Body for Electronic Media</w:t>
            </w:r>
            <w:r w:rsidR="00326B62">
              <w:rPr>
                <w:rFonts w:ascii="Times New Roman" w:eastAsia="Calibri" w:hAnsi="Times New Roman"/>
              </w:rPr>
              <w:t>.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:rsidTr="00326B62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 w:rsidRPr="0030405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245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FE2F9F">
              <w:rPr>
                <w:rFonts w:ascii="Times New Roman" w:eastAsia="Calibri" w:hAnsi="Times New Roman"/>
                <w:b/>
                <w:bCs/>
              </w:rPr>
              <w:t>Establishment of a suitable distribution key</w:t>
            </w:r>
            <w:r w:rsidRPr="00320CE5">
              <w:rPr>
                <w:rFonts w:ascii="Times New Roman" w:eastAsia="Calibri" w:hAnsi="Times New Roman"/>
              </w:rPr>
              <w:t xml:space="preserve"> regarding political advertisement</w:t>
            </w:r>
            <w:r w:rsidR="00326B62">
              <w:rPr>
                <w:rFonts w:ascii="Times New Roman" w:eastAsia="Calibri" w:hAnsi="Times New Roman"/>
              </w:rPr>
              <w:t xml:space="preserve"> at</w:t>
            </w:r>
            <w:r w:rsidRPr="00320CE5">
              <w:rPr>
                <w:rFonts w:ascii="Times New Roman" w:eastAsia="Calibri" w:hAnsi="Times New Roman"/>
              </w:rPr>
              <w:t xml:space="preserve"> the National Public Broadcaster (RTS and RTV). </w:t>
            </w:r>
          </w:p>
        </w:tc>
        <w:tc>
          <w:tcPr>
            <w:tcW w:w="3510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National Public Broadcaster to adopt a document within 5 days following the call for elections in full respect of Art 7 para 1 item 8 from the Law on Public Service Broadcasters ensuring that all participants get space in the </w:t>
            </w:r>
            <w:r w:rsidRPr="00544AA3">
              <w:rPr>
                <w:rFonts w:ascii="Times New Roman" w:eastAsia="Calibri" w:hAnsi="Times New Roman"/>
              </w:rPr>
              <w:t>prime time/RTS 1.</w:t>
            </w:r>
            <w:r w:rsidRPr="00320CE5">
              <w:rPr>
                <w:rFonts w:ascii="Times New Roman" w:eastAsia="Calibri" w:hAnsi="Times New Roman"/>
              </w:rPr>
              <w:t xml:space="preserve">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  <w:r w:rsidRPr="00320CE5">
              <w:rPr>
                <w:rFonts w:ascii="Times New Roman" w:eastAsia="Calibri" w:hAnsi="Times New Roman"/>
                <w:color w:val="4472C4" w:themeColor="accent1"/>
              </w:rPr>
              <w:t xml:space="preserve"> </w:t>
            </w:r>
          </w:p>
        </w:tc>
        <w:tc>
          <w:tcPr>
            <w:tcW w:w="3265" w:type="dxa"/>
            <w:shd w:val="clear" w:color="auto" w:fill="FFFFFF" w:themeFill="background1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National Public Broadcaster </w:t>
            </w:r>
          </w:p>
        </w:tc>
      </w:tr>
      <w:tr w:rsidR="00320CE5" w:rsidRPr="00320CE5" w:rsidTr="00C70D60">
        <w:trPr>
          <w:trHeight w:val="744"/>
        </w:trPr>
        <w:tc>
          <w:tcPr>
            <w:tcW w:w="436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0F6099" w:rsidRDefault="002A3542" w:rsidP="009C3D90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44AA3">
              <w:rPr>
                <w:rFonts w:ascii="Times New Roman" w:eastAsia="Calibri" w:hAnsi="Times New Roman"/>
                <w:b/>
                <w:bCs/>
              </w:rPr>
              <w:t xml:space="preserve">Adopt self-regulation to </w:t>
            </w:r>
            <w:r w:rsidR="00A10A4B" w:rsidRPr="00544AA3">
              <w:rPr>
                <w:rFonts w:ascii="Times New Roman" w:eastAsia="Calibri" w:hAnsi="Times New Roman"/>
                <w:b/>
                <w:bCs/>
              </w:rPr>
              <w:t>e</w:t>
            </w:r>
            <w:r w:rsidR="00320CE5" w:rsidRPr="00544AA3">
              <w:rPr>
                <w:rFonts w:ascii="Times New Roman" w:eastAsia="Calibri" w:hAnsi="Times New Roman"/>
                <w:b/>
                <w:bCs/>
              </w:rPr>
              <w:t>nsure</w:t>
            </w:r>
            <w:r w:rsidR="00320CE5" w:rsidRPr="00320CE5">
              <w:rPr>
                <w:rFonts w:ascii="Times New Roman" w:eastAsia="Calibri" w:hAnsi="Times New Roman"/>
              </w:rPr>
              <w:t xml:space="preserve"> </w:t>
            </w:r>
            <w:r w:rsidR="00320CE5" w:rsidRPr="00320CE5">
              <w:rPr>
                <w:rFonts w:ascii="Times New Roman" w:eastAsia="Calibri" w:hAnsi="Times New Roman"/>
                <w:b/>
              </w:rPr>
              <w:t>adequate airtime</w:t>
            </w:r>
            <w:r w:rsidR="00320CE5" w:rsidRPr="00320CE5">
              <w:rPr>
                <w:rFonts w:ascii="Times New Roman" w:eastAsia="Calibri" w:hAnsi="Times New Roman"/>
              </w:rPr>
              <w:t xml:space="preserve"> to express positions and views of the opposition on news related programmes on the National Public Broadcaster</w:t>
            </w:r>
            <w:r w:rsidR="009C3D90">
              <w:rPr>
                <w:rFonts w:ascii="Times New Roman" w:eastAsia="Calibri" w:hAnsi="Times New Roman"/>
              </w:rPr>
              <w:t>.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 w:rsidRPr="00320CE5">
              <w:rPr>
                <w:rFonts w:ascii="Times New Roman" w:eastAsia="Calibri" w:hAnsi="Times New Roman"/>
              </w:rPr>
              <w:t xml:space="preserve">National Public Broadcaster to adopt a </w:t>
            </w:r>
            <w:r w:rsidR="00251663">
              <w:rPr>
                <w:rFonts w:ascii="Times New Roman" w:eastAsia="Calibri" w:hAnsi="Times New Roman"/>
              </w:rPr>
              <w:t>self-regulation</w:t>
            </w:r>
            <w:r w:rsidRPr="00320CE5">
              <w:rPr>
                <w:rFonts w:ascii="Times New Roman" w:eastAsia="Calibri" w:hAnsi="Times New Roman"/>
              </w:rPr>
              <w:t xml:space="preserve"> in full respect of the existing framework</w:t>
            </w:r>
            <w:r w:rsidRPr="00320CE5">
              <w:t xml:space="preserve"> </w:t>
            </w:r>
            <w:r w:rsidRPr="00320CE5">
              <w:rPr>
                <w:rFonts w:ascii="Times New Roman" w:eastAsia="Calibri" w:hAnsi="Times New Roman"/>
              </w:rPr>
              <w:t xml:space="preserve">ensuring that all political actors get </w:t>
            </w:r>
            <w:r w:rsidR="00FE7C5C">
              <w:rPr>
                <w:rFonts w:ascii="Times New Roman" w:eastAsia="Calibri" w:hAnsi="Times New Roman"/>
              </w:rPr>
              <w:t>adequate</w:t>
            </w:r>
            <w:r w:rsidRPr="00320CE5">
              <w:rPr>
                <w:rFonts w:ascii="Times New Roman" w:eastAsia="Calibri" w:hAnsi="Times New Roman"/>
              </w:rPr>
              <w:t xml:space="preserve"> space in the </w:t>
            </w:r>
            <w:r w:rsidRPr="00544AA3">
              <w:rPr>
                <w:rFonts w:ascii="Times New Roman" w:eastAsia="Calibri" w:hAnsi="Times New Roman"/>
              </w:rPr>
              <w:t xml:space="preserve">prime time/RTS 1. </w:t>
            </w:r>
            <w:r w:rsidRPr="00544AA3">
              <w:rPr>
                <w:rFonts w:ascii="Times New Roman" w:eastAsia="Calibri" w:hAnsi="Times New Roman"/>
                <w:color w:val="FF0000"/>
              </w:rPr>
              <w:t xml:space="preserve"> </w:t>
            </w: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National Public Broadcaster</w:t>
            </w:r>
          </w:p>
        </w:tc>
      </w:tr>
      <w:tr w:rsidR="00320CE5" w:rsidRPr="00320CE5" w:rsidTr="00FA4133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FE2F9F" w:rsidRDefault="00282FBA" w:rsidP="00320CE5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Improve the system of</w:t>
            </w:r>
            <w:r w:rsidR="00320CE5" w:rsidRPr="00FE2F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 xml:space="preserve">fighting against the </w:t>
            </w:r>
            <w:r w:rsidR="00320CE5" w:rsidRPr="00FE2F9F">
              <w:rPr>
                <w:rFonts w:ascii="Times New Roman" w:eastAsia="Calibri" w:hAnsi="Times New Roman"/>
                <w:b/>
              </w:rPr>
              <w:t>abuse of public office and public resources</w:t>
            </w:r>
          </w:p>
        </w:tc>
        <w:tc>
          <w:tcPr>
            <w:tcW w:w="3510" w:type="dxa"/>
            <w:shd w:val="clear" w:color="auto" w:fill="FFFFFF" w:themeFill="background1"/>
          </w:tcPr>
          <w:p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FA4133">
              <w:rPr>
                <w:rFonts w:ascii="Times New Roman" w:eastAsia="Calibri" w:hAnsi="Times New Roman"/>
                <w:bCs/>
              </w:rPr>
              <w:t>Amendment to the Law on Prevention of Corruption</w:t>
            </w:r>
          </w:p>
          <w:p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FA4133" w:rsidRPr="00FA4133" w:rsidRDefault="00FA4133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FA4133">
              <w:rPr>
                <w:rFonts w:ascii="Times New Roman" w:eastAsia="Calibri" w:hAnsi="Times New Roman"/>
                <w:bCs/>
              </w:rPr>
              <w:t>National Assembly of the Republic of Serbia</w:t>
            </w:r>
          </w:p>
        </w:tc>
      </w:tr>
      <w:tr w:rsidR="00320CE5" w:rsidRPr="00320CE5" w:rsidTr="00C70D60">
        <w:trPr>
          <w:trHeight w:val="744"/>
        </w:trPr>
        <w:tc>
          <w:tcPr>
            <w:tcW w:w="436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5B4EEA" w:rsidRDefault="00320CE5" w:rsidP="00C82919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FE2F9F">
              <w:rPr>
                <w:rFonts w:ascii="Times New Roman" w:eastAsia="Calibri" w:hAnsi="Times New Roman"/>
                <w:b/>
              </w:rPr>
              <w:t>Temporary</w:t>
            </w:r>
            <w:r w:rsidRPr="00320CE5">
              <w:rPr>
                <w:rFonts w:ascii="Times New Roman" w:eastAsia="Calibri" w:hAnsi="Times New Roman"/>
                <w:b/>
              </w:rPr>
              <w:t xml:space="preserve"> change of the</w:t>
            </w:r>
            <w:r w:rsidR="00FA4133">
              <w:rPr>
                <w:rFonts w:ascii="Times New Roman" w:eastAsia="Calibri" w:hAnsi="Times New Roman"/>
                <w:b/>
              </w:rPr>
              <w:t xml:space="preserve"> standing</w:t>
            </w:r>
            <w:r w:rsidRPr="00320CE5">
              <w:rPr>
                <w:rFonts w:ascii="Times New Roman" w:eastAsia="Calibri" w:hAnsi="Times New Roman"/>
                <w:b/>
              </w:rPr>
              <w:t xml:space="preserve"> REC composition</w:t>
            </w:r>
            <w:r w:rsidR="00C82919" w:rsidRPr="00C82919">
              <w:rPr>
                <w:rFonts w:ascii="Times New Roman" w:eastAsia="Calibri" w:hAnsi="Times New Roman"/>
                <w:bCs/>
              </w:rPr>
              <w:t xml:space="preserve"> by</w:t>
            </w:r>
            <w:r w:rsidR="00C82919">
              <w:rPr>
                <w:rFonts w:ascii="Times New Roman" w:eastAsia="Calibri" w:hAnsi="Times New Roman"/>
                <w:bCs/>
              </w:rPr>
              <w:t xml:space="preserve"> adding </w:t>
            </w:r>
            <w:r w:rsidR="00856BC8">
              <w:rPr>
                <w:rFonts w:ascii="Times New Roman" w:eastAsia="Calibri" w:hAnsi="Times New Roman"/>
                <w:bCs/>
              </w:rPr>
              <w:t>6</w:t>
            </w:r>
            <w:r w:rsidR="00C82919">
              <w:rPr>
                <w:rFonts w:ascii="Times New Roman" w:eastAsia="Calibri" w:hAnsi="Times New Roman"/>
                <w:bCs/>
              </w:rPr>
              <w:t xml:space="preserve"> additional members </w:t>
            </w:r>
            <w:r w:rsidR="005B4EEA">
              <w:rPr>
                <w:rFonts w:ascii="Times New Roman" w:eastAsia="Calibri" w:hAnsi="Times New Roman"/>
                <w:bCs/>
              </w:rPr>
              <w:t xml:space="preserve">and </w:t>
            </w:r>
            <w:r w:rsidR="00856BC8">
              <w:rPr>
                <w:rFonts w:ascii="Times New Roman" w:eastAsia="Calibri" w:hAnsi="Times New Roman"/>
                <w:bCs/>
              </w:rPr>
              <w:t>6</w:t>
            </w:r>
            <w:r w:rsidR="005B4EEA">
              <w:rPr>
                <w:rFonts w:ascii="Times New Roman" w:eastAsia="Calibri" w:hAnsi="Times New Roman"/>
                <w:bCs/>
              </w:rPr>
              <w:t xml:space="preserve"> substitutes to its composition from </w:t>
            </w:r>
            <w:proofErr w:type="spellStart"/>
            <w:r w:rsidR="005B4EEA">
              <w:rPr>
                <w:rFonts w:ascii="Times New Roman" w:eastAsia="Calibri" w:hAnsi="Times New Roman"/>
                <w:bCs/>
              </w:rPr>
              <w:t>the</w:t>
            </w:r>
            <w:r w:rsidR="00EB2DCE">
              <w:rPr>
                <w:rFonts w:ascii="Times New Roman" w:eastAsia="Calibri" w:hAnsi="Times New Roman"/>
                <w:bCs/>
              </w:rPr>
              <w:t>rank</w:t>
            </w:r>
            <w:proofErr w:type="spellEnd"/>
            <w:r w:rsidR="00EB2DCE">
              <w:rPr>
                <w:rFonts w:ascii="Times New Roman" w:eastAsia="Calibri" w:hAnsi="Times New Roman"/>
                <w:bCs/>
              </w:rPr>
              <w:t xml:space="preserve"> </w:t>
            </w:r>
            <w:r w:rsidR="005B4EEA">
              <w:rPr>
                <w:rFonts w:ascii="Times New Roman" w:eastAsia="Calibri" w:hAnsi="Times New Roman"/>
                <w:bCs/>
              </w:rPr>
              <w:t>of the overall opposition in the count</w:t>
            </w:r>
            <w:r w:rsidR="00102217">
              <w:rPr>
                <w:rFonts w:ascii="Times New Roman" w:eastAsia="Calibri" w:hAnsi="Times New Roman"/>
                <w:bCs/>
              </w:rPr>
              <w:t>ry</w:t>
            </w:r>
            <w:r w:rsidR="00282FBA">
              <w:rPr>
                <w:rFonts w:ascii="Times New Roman" w:eastAsia="Calibri" w:hAnsi="Times New Roman"/>
                <w:bCs/>
              </w:rPr>
              <w:t xml:space="preserve"> (3+3 format)</w:t>
            </w:r>
            <w:r w:rsidR="00102217">
              <w:rPr>
                <w:rFonts w:ascii="Times New Roman" w:eastAsia="Calibri" w:hAnsi="Times New Roman"/>
                <w:bCs/>
              </w:rPr>
              <w:t xml:space="preserve">. </w:t>
            </w:r>
          </w:p>
          <w:p w:rsidR="00C82919" w:rsidRDefault="00C82919" w:rsidP="00C82919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DA203F" w:rsidRPr="005E1C6F" w:rsidRDefault="00282FBA" w:rsidP="00C82919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trike/>
              </w:rPr>
            </w:pPr>
            <w:r>
              <w:rPr>
                <w:rFonts w:ascii="Times New Roman" w:eastAsia="Calibri" w:hAnsi="Times New Roman"/>
                <w:b/>
              </w:rPr>
              <w:t xml:space="preserve"> The REC should operate on the principles of </w:t>
            </w:r>
            <w:r w:rsidR="00925601" w:rsidRPr="00925601">
              <w:rPr>
                <w:rFonts w:ascii="Times New Roman" w:eastAsia="Calibri" w:hAnsi="Times New Roman"/>
                <w:b/>
              </w:rPr>
              <w:t xml:space="preserve">collegiality </w:t>
            </w:r>
            <w:r w:rsidR="00925601" w:rsidRPr="005E1C6F">
              <w:rPr>
                <w:rFonts w:ascii="Times New Roman" w:eastAsia="Calibri" w:hAnsi="Times New Roman"/>
                <w:b/>
              </w:rPr>
              <w:t xml:space="preserve">and it should strive for making decisions with the widest possible </w:t>
            </w:r>
            <w:proofErr w:type="spellStart"/>
            <w:r w:rsidR="00925601" w:rsidRPr="005E1C6F">
              <w:rPr>
                <w:rFonts w:ascii="Times New Roman" w:eastAsia="Calibri" w:hAnsi="Times New Roman"/>
                <w:b/>
              </w:rPr>
              <w:t>concensus</w:t>
            </w:r>
            <w:proofErr w:type="spellEnd"/>
            <w:r w:rsidR="00925601" w:rsidRPr="005E1C6F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950179" w:rsidRDefault="00102217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Adopting legal changes</w:t>
            </w:r>
            <w:r w:rsidR="00177A3C">
              <w:rPr>
                <w:rFonts w:ascii="Times New Roman" w:eastAsia="Calibri" w:hAnsi="Times New Roman"/>
                <w:bCs/>
              </w:rPr>
              <w:t xml:space="preserve"> which will be followed by parliamentary procedures </w:t>
            </w:r>
            <w:r w:rsidR="00950179">
              <w:rPr>
                <w:rFonts w:ascii="Times New Roman" w:eastAsia="Calibri" w:hAnsi="Times New Roman"/>
                <w:bCs/>
              </w:rPr>
              <w:t>for election of REC members and substitutes</w:t>
            </w:r>
            <w:r w:rsidR="00FC4DF2">
              <w:rPr>
                <w:rFonts w:ascii="Times New Roman" w:eastAsia="Calibri" w:hAnsi="Times New Roman"/>
                <w:bCs/>
              </w:rPr>
              <w:t xml:space="preserve"> upon proposal from the opposition</w:t>
            </w:r>
            <w:r w:rsidR="00B443A9">
              <w:rPr>
                <w:rFonts w:ascii="Times New Roman" w:eastAsia="Calibri" w:hAnsi="Times New Roman"/>
                <w:bCs/>
              </w:rPr>
              <w:t xml:space="preserve"> within </w:t>
            </w:r>
            <w:r w:rsidR="00EB2DCE">
              <w:rPr>
                <w:rFonts w:ascii="Times New Roman" w:eastAsia="Calibri" w:hAnsi="Times New Roman"/>
                <w:bCs/>
              </w:rPr>
              <w:t xml:space="preserve">60 </w:t>
            </w:r>
            <w:r w:rsidR="00B443A9">
              <w:rPr>
                <w:rFonts w:ascii="Times New Roman" w:eastAsia="Calibri" w:hAnsi="Times New Roman"/>
                <w:bCs/>
              </w:rPr>
              <w:t>days following the</w:t>
            </w:r>
            <w:r w:rsidR="0012621E">
              <w:rPr>
                <w:rFonts w:ascii="Times New Roman" w:eastAsia="Calibri" w:hAnsi="Times New Roman"/>
                <w:bCs/>
              </w:rPr>
              <w:t xml:space="preserve"> second round of the IPD process.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0070C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0070C0"/>
              </w:rPr>
            </w:pP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320CE5">
              <w:rPr>
                <w:rFonts w:ascii="Times New Roman" w:eastAsia="Calibri" w:hAnsi="Times New Roman"/>
                <w:bCs/>
              </w:rPr>
              <w:t xml:space="preserve">National Assembly of the Republic of Serbia </w:t>
            </w:r>
          </w:p>
        </w:tc>
      </w:tr>
      <w:tr w:rsidR="00BF1CC7" w:rsidRPr="00320CE5" w:rsidTr="00C70D60">
        <w:trPr>
          <w:trHeight w:val="744"/>
        </w:trPr>
        <w:tc>
          <w:tcPr>
            <w:tcW w:w="436" w:type="dxa"/>
          </w:tcPr>
          <w:p w:rsidR="00BF1CC7" w:rsidRDefault="00BF1CC7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24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BF1CC7" w:rsidRPr="00320CE5" w:rsidRDefault="00544AA3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>
              <w:rPr>
                <w:rFonts w:ascii="Times New Roman" w:eastAsia="Calibri" w:hAnsi="Times New Roman"/>
                <w:b/>
              </w:rPr>
              <w:t>Change the f</w:t>
            </w:r>
            <w:r w:rsidR="00FA4133" w:rsidRPr="00FE2F9F">
              <w:rPr>
                <w:rFonts w:ascii="Times New Roman" w:eastAsia="Calibri" w:hAnsi="Times New Roman"/>
                <w:b/>
              </w:rPr>
              <w:t xml:space="preserve">inancing </w:t>
            </w:r>
            <w:r w:rsidR="00C12A06" w:rsidRPr="00FE2F9F">
              <w:rPr>
                <w:rFonts w:ascii="Times New Roman" w:eastAsia="Calibri" w:hAnsi="Times New Roman"/>
                <w:b/>
              </w:rPr>
              <w:t>of election campaign costs</w:t>
            </w:r>
            <w:r w:rsidR="00C12A06">
              <w:rPr>
                <w:rFonts w:ascii="Times New Roman" w:eastAsia="Calibri" w:hAnsi="Times New Roman"/>
                <w:bCs/>
              </w:rPr>
              <w:t xml:space="preserve">, so that 30% of the funds are equally distributed to </w:t>
            </w:r>
            <w:r w:rsidR="00EB2DCE">
              <w:rPr>
                <w:rFonts w:ascii="Times New Roman" w:eastAsia="Calibri" w:hAnsi="Times New Roman"/>
                <w:bCs/>
              </w:rPr>
              <w:t xml:space="preserve">all </w:t>
            </w:r>
            <w:r w:rsidR="00C12A06">
              <w:rPr>
                <w:rFonts w:ascii="Times New Roman" w:eastAsia="Calibri" w:hAnsi="Times New Roman"/>
                <w:bCs/>
              </w:rPr>
              <w:t xml:space="preserve">submitters of electoral lists who stated </w:t>
            </w:r>
            <w:r w:rsidR="00482112">
              <w:rPr>
                <w:rFonts w:ascii="Times New Roman" w:eastAsia="Calibri" w:hAnsi="Times New Roman"/>
                <w:bCs/>
              </w:rPr>
              <w:t xml:space="preserve">that they want </w:t>
            </w:r>
            <w:r w:rsidR="00C12A06">
              <w:rPr>
                <w:rFonts w:ascii="Times New Roman" w:eastAsia="Calibri" w:hAnsi="Times New Roman"/>
                <w:bCs/>
              </w:rPr>
              <w:t>to cover election campaign costs from public funds, and that 70% of the funds need to be distributed</w:t>
            </w:r>
            <w:r w:rsidR="00482112">
              <w:rPr>
                <w:rFonts w:ascii="Times New Roman" w:eastAsia="Calibri" w:hAnsi="Times New Roman"/>
                <w:bCs/>
              </w:rPr>
              <w:t xml:space="preserve"> only</w:t>
            </w:r>
            <w:r w:rsidR="00C12A06">
              <w:rPr>
                <w:rFonts w:ascii="Times New Roman" w:eastAsia="Calibri" w:hAnsi="Times New Roman"/>
                <w:bCs/>
              </w:rPr>
              <w:t xml:space="preserve"> to </w:t>
            </w:r>
            <w:r w:rsidR="00482112">
              <w:rPr>
                <w:rFonts w:ascii="Times New Roman" w:eastAsia="Calibri" w:hAnsi="Times New Roman"/>
                <w:bCs/>
              </w:rPr>
              <w:t xml:space="preserve">the </w:t>
            </w:r>
            <w:r w:rsidR="00C12A06">
              <w:rPr>
                <w:rFonts w:ascii="Times New Roman" w:eastAsia="Calibri" w:hAnsi="Times New Roman"/>
                <w:bCs/>
              </w:rPr>
              <w:t xml:space="preserve">electoral lists that have won seats in the Parliament, proportionally to the number of seats won. </w:t>
            </w:r>
          </w:p>
        </w:tc>
        <w:tc>
          <w:tcPr>
            <w:tcW w:w="3510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BF1CC7" w:rsidRPr="00FE2F9F" w:rsidRDefault="00C12A06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FE2F9F">
              <w:rPr>
                <w:rFonts w:ascii="Times New Roman" w:eastAsia="Calibri" w:hAnsi="Times New Roman"/>
                <w:bCs/>
              </w:rPr>
              <w:t xml:space="preserve">Amendments to the Law on Financing Political Activities in the part related to the criteria for financing the election campaign costs </w:t>
            </w: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BF1CC7" w:rsidRP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FE2F9F">
              <w:rPr>
                <w:rFonts w:ascii="Times New Roman" w:eastAsia="Calibri" w:hAnsi="Times New Roman"/>
                <w:bCs/>
              </w:rPr>
              <w:t xml:space="preserve">National Assembly of the Republic of Serbia </w:t>
            </w:r>
          </w:p>
        </w:tc>
      </w:tr>
      <w:tr w:rsidR="00320CE5" w:rsidRPr="00320CE5" w:rsidTr="00F1112C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:rsidR="00320CE5" w:rsidRPr="00320CE5" w:rsidRDefault="00F1112C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Ensure that authorities have sufficient procedures in place to prevent and investigate u</w:t>
            </w:r>
            <w:r w:rsidR="00320CE5" w:rsidRPr="00320CE5">
              <w:rPr>
                <w:rFonts w:ascii="Times New Roman" w:eastAsia="Calibri" w:hAnsi="Times New Roman"/>
                <w:b/>
              </w:rPr>
              <w:t>ndue pressure on voters,</w:t>
            </w:r>
            <w:r w:rsidR="00320CE5" w:rsidRPr="00320CE5">
              <w:rPr>
                <w:rFonts w:ascii="Times New Roman" w:eastAsia="Calibri" w:hAnsi="Times New Roman"/>
              </w:rPr>
              <w:t xml:space="preserve"> including employees of state or state-affiliated institutions and enterprises</w:t>
            </w:r>
            <w:r w:rsidR="00FA4133">
              <w:rPr>
                <w:rFonts w:ascii="Times New Roman" w:eastAsia="Calibri" w:hAnsi="Times New Roman"/>
              </w:rPr>
              <w:t>.</w:t>
            </w:r>
            <w:r w:rsidR="00320CE5" w:rsidRPr="00320CE5">
              <w:rPr>
                <w:rFonts w:ascii="Times New Roman" w:eastAsia="Calibri" w:hAnsi="Times New Roman"/>
              </w:rPr>
              <w:t xml:space="preserve">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F1112C" w:rsidP="00F1112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Immediate coordination with relevant authorities. </w:t>
            </w:r>
          </w:p>
        </w:tc>
        <w:tc>
          <w:tcPr>
            <w:tcW w:w="3265" w:type="dxa"/>
            <w:shd w:val="clear" w:color="auto" w:fill="FFFFFF" w:themeFill="background1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F1112C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Responsible authorities. </w:t>
            </w:r>
          </w:p>
        </w:tc>
      </w:tr>
      <w:tr w:rsidR="00320CE5" w:rsidRPr="00320CE5" w:rsidTr="00C70D60">
        <w:trPr>
          <w:trHeight w:val="1966"/>
        </w:trPr>
        <w:tc>
          <w:tcPr>
            <w:tcW w:w="436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FE2F9F" w:rsidRDefault="00925601" w:rsidP="00925601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Voter</w:t>
            </w:r>
            <w:r w:rsidR="00320CE5" w:rsidRPr="00FE2F9F">
              <w:rPr>
                <w:rFonts w:ascii="Times New Roman" w:eastAsia="Calibri" w:hAnsi="Times New Roman"/>
                <w:b/>
              </w:rPr>
              <w:t xml:space="preserve"> registration data </w:t>
            </w:r>
            <w:r w:rsidR="00544AA3">
              <w:rPr>
                <w:rFonts w:ascii="Times New Roman" w:eastAsia="Calibri" w:hAnsi="Times New Roman"/>
                <w:b/>
              </w:rPr>
              <w:t>to</w:t>
            </w:r>
            <w:r w:rsidR="00320CE5" w:rsidRPr="00FE2F9F">
              <w:rPr>
                <w:rFonts w:ascii="Times New Roman" w:eastAsia="Calibri" w:hAnsi="Times New Roman"/>
                <w:b/>
              </w:rPr>
              <w:t xml:space="preserve"> be periodically published</w:t>
            </w:r>
            <w:r w:rsidR="00FA65F0">
              <w:rPr>
                <w:rFonts w:ascii="Times New Roman" w:eastAsia="Calibri" w:hAnsi="Times New Roman"/>
                <w:b/>
              </w:rPr>
              <w:t xml:space="preserve">, in </w:t>
            </w:r>
            <w:r>
              <w:rPr>
                <w:rFonts w:ascii="Times New Roman" w:eastAsia="Calibri" w:hAnsi="Times New Roman"/>
                <w:b/>
              </w:rPr>
              <w:t>accordance</w:t>
            </w:r>
            <w:r w:rsidR="00FA65F0">
              <w:rPr>
                <w:rFonts w:ascii="Times New Roman" w:eastAsia="Calibri" w:hAnsi="Times New Roman"/>
                <w:b/>
              </w:rPr>
              <w:t xml:space="preserve"> with the </w:t>
            </w:r>
            <w:r>
              <w:rPr>
                <w:rFonts w:ascii="Times New Roman" w:eastAsia="Calibri" w:hAnsi="Times New Roman"/>
                <w:b/>
              </w:rPr>
              <w:t>existing legislation and ODIHR recommendations</w:t>
            </w:r>
            <w:r w:rsidR="00320CE5" w:rsidRPr="00FE2F9F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320CE5">
              <w:rPr>
                <w:rFonts w:ascii="Times New Roman" w:eastAsia="Calibri" w:hAnsi="Times New Roman"/>
                <w:bCs/>
              </w:rPr>
              <w:t>Implementation of the Instructions for the Implementation of the Law on the Voters List as amended in April 2021.</w:t>
            </w:r>
          </w:p>
        </w:tc>
        <w:tc>
          <w:tcPr>
            <w:tcW w:w="3265" w:type="dxa"/>
          </w:tcPr>
          <w:p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320CE5" w:rsidRPr="00320CE5" w:rsidRDefault="00FA65F0" w:rsidP="00FA65F0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Ministry</w:t>
            </w:r>
            <w:r w:rsidRPr="00320CE5">
              <w:rPr>
                <w:rFonts w:ascii="Times New Roman" w:eastAsia="Calibri" w:hAnsi="Times New Roman"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of</w:t>
            </w:r>
            <w:r w:rsidRPr="00320CE5">
              <w:rPr>
                <w:rFonts w:ascii="Times New Roman" w:eastAsia="Calibri" w:hAnsi="Times New Roman"/>
                <w:bCs/>
              </w:rPr>
              <w:t xml:space="preserve"> </w:t>
            </w:r>
            <w:r w:rsidR="00320CE5" w:rsidRPr="00320CE5">
              <w:rPr>
                <w:rFonts w:ascii="Times New Roman" w:eastAsia="Calibri" w:hAnsi="Times New Roman"/>
                <w:bCs/>
              </w:rPr>
              <w:t>Public Administration and Local Self-</w:t>
            </w:r>
            <w:r>
              <w:rPr>
                <w:rFonts w:ascii="Times New Roman" w:eastAsia="Calibri" w:hAnsi="Times New Roman"/>
                <w:bCs/>
              </w:rPr>
              <w:t>Government</w:t>
            </w:r>
            <w:r w:rsidRPr="00320CE5">
              <w:rPr>
                <w:rFonts w:ascii="Times New Roman" w:eastAsia="Calibri" w:hAnsi="Times New Roman"/>
                <w:bCs/>
              </w:rPr>
              <w:t xml:space="preserve"> </w:t>
            </w:r>
            <w:r w:rsidR="00320CE5" w:rsidRPr="00320CE5">
              <w:rPr>
                <w:rFonts w:ascii="Times New Roman" w:eastAsia="Calibri" w:hAnsi="Times New Roman"/>
                <w:bCs/>
              </w:rPr>
              <w:t>and its Working Group for verification of Voter Registry</w:t>
            </w:r>
          </w:p>
        </w:tc>
      </w:tr>
      <w:tr w:rsidR="00320CE5" w:rsidRPr="00320CE5" w:rsidTr="00C70D60">
        <w:trPr>
          <w:trHeight w:val="744"/>
        </w:trPr>
        <w:tc>
          <w:tcPr>
            <w:tcW w:w="436" w:type="dxa"/>
          </w:tcPr>
          <w:p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FE2F9F" w:rsidRDefault="00320CE5" w:rsidP="00320CE5">
            <w:pPr>
              <w:jc w:val="both"/>
              <w:rPr>
                <w:rFonts w:ascii="Times New Roman" w:eastAsia="Calibri" w:hAnsi="Times New Roman"/>
                <w:b/>
                <w:color w:val="7030A0"/>
              </w:rPr>
            </w:pPr>
            <w:r w:rsidRPr="00FE2F9F">
              <w:rPr>
                <w:rFonts w:ascii="Times New Roman" w:eastAsia="Calibri" w:hAnsi="Times New Roman"/>
                <w:b/>
              </w:rPr>
              <w:t>Voter Registry Audit</w:t>
            </w: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 w:rsidRPr="00320CE5">
              <w:rPr>
                <w:rFonts w:ascii="Times New Roman" w:eastAsia="Calibri" w:hAnsi="Times New Roman"/>
                <w:bCs/>
              </w:rPr>
              <w:t xml:space="preserve">Resuming the process of voter registry </w:t>
            </w:r>
            <w:r w:rsidR="00B37004" w:rsidRPr="00320CE5">
              <w:rPr>
                <w:rFonts w:ascii="Times New Roman" w:eastAsia="Calibri" w:hAnsi="Times New Roman"/>
                <w:bCs/>
              </w:rPr>
              <w:t>audit in</w:t>
            </w:r>
            <w:r w:rsidRPr="00320CE5">
              <w:rPr>
                <w:rFonts w:ascii="Times New Roman" w:eastAsia="Calibri" w:hAnsi="Times New Roman"/>
                <w:bCs/>
              </w:rPr>
              <w:t xml:space="preserve"> conformity with </w:t>
            </w:r>
            <w:r w:rsidR="00FE2F9F" w:rsidRPr="00320CE5">
              <w:rPr>
                <w:rFonts w:ascii="Times New Roman" w:eastAsia="Calibri" w:hAnsi="Times New Roman"/>
                <w:bCs/>
              </w:rPr>
              <w:t>international</w:t>
            </w:r>
            <w:r w:rsidR="00FE2F9F">
              <w:rPr>
                <w:rFonts w:ascii="Times New Roman" w:eastAsia="Calibri" w:hAnsi="Times New Roman"/>
                <w:bCs/>
              </w:rPr>
              <w:t xml:space="preserve"> </w:t>
            </w:r>
            <w:r w:rsidRPr="00320CE5">
              <w:rPr>
                <w:rFonts w:ascii="Times New Roman" w:eastAsia="Calibri" w:hAnsi="Times New Roman"/>
                <w:bCs/>
              </w:rPr>
              <w:t>standards and with independent monitoring.</w:t>
            </w:r>
            <w:r w:rsidRPr="00320CE5">
              <w:rPr>
                <w:rFonts w:ascii="Times New Roman" w:eastAsia="Calibri" w:hAnsi="Times New Roman"/>
                <w:bCs/>
                <w:color w:val="7030A0"/>
              </w:rPr>
              <w:t xml:space="preserve"> </w:t>
            </w:r>
          </w:p>
        </w:tc>
        <w:tc>
          <w:tcPr>
            <w:tcW w:w="326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320CE5" w:rsidRPr="00320CE5" w:rsidRDefault="00FA65F0" w:rsidP="00FA65F0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Ministry</w:t>
            </w:r>
            <w:r w:rsidRPr="00320CE5">
              <w:rPr>
                <w:rFonts w:ascii="Times New Roman" w:eastAsia="Calibri" w:hAnsi="Times New Roman"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of</w:t>
            </w:r>
            <w:r w:rsidRPr="00320CE5">
              <w:rPr>
                <w:rFonts w:ascii="Times New Roman" w:eastAsia="Calibri" w:hAnsi="Times New Roman"/>
                <w:bCs/>
              </w:rPr>
              <w:t xml:space="preserve"> </w:t>
            </w:r>
            <w:r w:rsidR="00320CE5" w:rsidRPr="00320CE5">
              <w:rPr>
                <w:rFonts w:ascii="Times New Roman" w:eastAsia="Calibri" w:hAnsi="Times New Roman"/>
                <w:bCs/>
              </w:rPr>
              <w:t>Public Administration and Local Self-</w:t>
            </w:r>
            <w:r>
              <w:rPr>
                <w:rFonts w:ascii="Times New Roman" w:eastAsia="Calibri" w:hAnsi="Times New Roman"/>
                <w:bCs/>
              </w:rPr>
              <w:t>Government</w:t>
            </w:r>
            <w:r w:rsidRPr="00320CE5">
              <w:rPr>
                <w:rFonts w:ascii="Times New Roman" w:eastAsia="Calibri" w:hAnsi="Times New Roman"/>
                <w:bCs/>
              </w:rPr>
              <w:t xml:space="preserve"> </w:t>
            </w:r>
            <w:r w:rsidR="00320CE5" w:rsidRPr="00320CE5">
              <w:rPr>
                <w:rFonts w:ascii="Times New Roman" w:eastAsia="Calibri" w:hAnsi="Times New Roman"/>
                <w:bCs/>
              </w:rPr>
              <w:t>and its Working Group for verification of Voter Registry</w:t>
            </w:r>
          </w:p>
        </w:tc>
      </w:tr>
      <w:tr w:rsidR="00320CE5" w:rsidRPr="00320CE5" w:rsidTr="00C70D60">
        <w:trPr>
          <w:trHeight w:val="744"/>
        </w:trPr>
        <w:tc>
          <w:tcPr>
            <w:tcW w:w="436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FE2F9F">
              <w:rPr>
                <w:rFonts w:ascii="Times New Roman" w:eastAsia="Calibri" w:hAnsi="Times New Roman"/>
                <w:b/>
                <w:bCs/>
              </w:rPr>
              <w:t>Improve procedures</w:t>
            </w:r>
            <w:r w:rsidRPr="00320CE5">
              <w:rPr>
                <w:rFonts w:ascii="Times New Roman" w:eastAsia="Calibri" w:hAnsi="Times New Roman"/>
              </w:rPr>
              <w:t xml:space="preserve"> including vote count, control of results, completion of the result protocols and election results by polling station and their prompt publication.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 xml:space="preserve">Approval of Instructions to enable timely publication of the polling board </w:t>
            </w:r>
            <w:r w:rsidR="00685231">
              <w:rPr>
                <w:rFonts w:ascii="Times New Roman" w:eastAsia="Calibri" w:hAnsi="Times New Roman"/>
              </w:rPr>
              <w:t xml:space="preserve"> protocols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6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lastRenderedPageBreak/>
              <w:t xml:space="preserve">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 w:rsidRPr="00320CE5">
              <w:rPr>
                <w:rFonts w:ascii="Times New Roman" w:eastAsia="Calibri" w:hAnsi="Times New Roman"/>
              </w:rPr>
              <w:t>Republic Electoral Commission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:rsidTr="00C70D60">
        <w:trPr>
          <w:trHeight w:val="744"/>
        </w:trPr>
        <w:tc>
          <w:tcPr>
            <w:tcW w:w="436" w:type="dxa"/>
          </w:tcPr>
          <w:p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24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925601" w:rsidP="00925601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The status of observers should be regulated by law. </w:t>
            </w:r>
          </w:p>
        </w:tc>
        <w:tc>
          <w:tcPr>
            <w:tcW w:w="3510" w:type="dxa"/>
          </w:tcPr>
          <w:p w:rsidR="00FE2F9F" w:rsidRP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:rsidR="00C12A06" w:rsidRPr="00FE2F9F" w:rsidRDefault="00C12A06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FE2F9F">
              <w:rPr>
                <w:rFonts w:ascii="Times New Roman" w:eastAsia="Calibri" w:hAnsi="Times New Roman"/>
                <w:bCs/>
              </w:rPr>
              <w:t xml:space="preserve">Amend the law on Election of Members of the Parliament in order to recognize the status of the observers, followed by further regulation by the Republic Electoral Commission. 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</w:tc>
        <w:tc>
          <w:tcPr>
            <w:tcW w:w="3265" w:type="dxa"/>
          </w:tcPr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:rsidR="00320CE5" w:rsidRPr="00320CE5" w:rsidRDefault="00C12A06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National Assembly of the Republic of Serbia and the </w:t>
            </w:r>
            <w:r w:rsidR="00320CE5" w:rsidRPr="00320CE5">
              <w:rPr>
                <w:rFonts w:ascii="Times New Roman" w:eastAsia="Calibri" w:hAnsi="Times New Roman"/>
              </w:rPr>
              <w:t>Republic Electoral Commission</w:t>
            </w:r>
          </w:p>
          <w:p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4C4CAB" w:rsidRPr="00320CE5" w:rsidTr="00C70D60">
        <w:trPr>
          <w:trHeight w:val="744"/>
        </w:trPr>
        <w:tc>
          <w:tcPr>
            <w:tcW w:w="436" w:type="dxa"/>
          </w:tcPr>
          <w:p w:rsidR="004C4CAB" w:rsidRDefault="004C4CAB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245" w:type="dxa"/>
          </w:tcPr>
          <w:p w:rsidR="004C4CAB" w:rsidRDefault="004C4CAB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Reduce the number of signatures necessary for electoral lists of national minority parties for the parliamentary elections to 5000 signatures and ensure prevention of the abuse of the law.</w:t>
            </w:r>
          </w:p>
          <w:p w:rsidR="004C4CAB" w:rsidRPr="00320CE5" w:rsidRDefault="004C4CAB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:rsidR="004C4CAB" w:rsidRPr="00FE2F9F" w:rsidRDefault="004C4CAB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Amend the Law on Election of Members of Parliament</w:t>
            </w:r>
          </w:p>
        </w:tc>
        <w:tc>
          <w:tcPr>
            <w:tcW w:w="3265" w:type="dxa"/>
          </w:tcPr>
          <w:p w:rsidR="004C4CAB" w:rsidRPr="00320CE5" w:rsidRDefault="004C4CAB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Nationa</w:t>
            </w:r>
            <w:r w:rsidR="007A45C0">
              <w:rPr>
                <w:rFonts w:ascii="Times New Roman" w:eastAsia="Calibri" w:hAnsi="Times New Roman"/>
              </w:rPr>
              <w:t xml:space="preserve">l Assembly of the Republic of </w:t>
            </w:r>
            <w:r>
              <w:rPr>
                <w:rFonts w:ascii="Times New Roman" w:eastAsia="Calibri" w:hAnsi="Times New Roman"/>
              </w:rPr>
              <w:t>Serbia</w:t>
            </w:r>
          </w:p>
        </w:tc>
      </w:tr>
    </w:tbl>
    <w:p w:rsidR="000654CA" w:rsidRDefault="000654CA"/>
    <w:sectPr w:rsidR="000654CA" w:rsidSect="00460FB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F9" w:rsidRDefault="005243F9" w:rsidP="00364E65">
      <w:pPr>
        <w:spacing w:after="0" w:line="240" w:lineRule="auto"/>
      </w:pPr>
      <w:r>
        <w:separator/>
      </w:r>
    </w:p>
  </w:endnote>
  <w:endnote w:type="continuationSeparator" w:id="0">
    <w:p w:rsidR="005243F9" w:rsidRDefault="005243F9" w:rsidP="0036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23" w:rsidRDefault="002760DC">
    <w:pPr>
      <w:pStyle w:val="Footer"/>
    </w:pPr>
    <w:r>
      <w:fldChar w:fldCharType="begin"/>
    </w:r>
    <w:r>
      <w:instrText xml:space="preserve"> TIME \@ "dd/MM/yyyy HH:mm" </w:instrText>
    </w:r>
    <w:r>
      <w:fldChar w:fldCharType="separate"/>
    </w:r>
    <w:r w:rsidR="0020208C">
      <w:rPr>
        <w:noProof/>
      </w:rPr>
      <w:t>18/09/2021 15:39</w:t>
    </w:r>
    <w:r>
      <w:fldChar w:fldCharType="end"/>
    </w:r>
  </w:p>
  <w:p w:rsidR="00DB38D4" w:rsidRDefault="00202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F9" w:rsidRDefault="005243F9" w:rsidP="00364E65">
      <w:pPr>
        <w:spacing w:after="0" w:line="240" w:lineRule="auto"/>
      </w:pPr>
      <w:r>
        <w:separator/>
      </w:r>
    </w:p>
  </w:footnote>
  <w:footnote w:type="continuationSeparator" w:id="0">
    <w:p w:rsidR="005243F9" w:rsidRDefault="005243F9" w:rsidP="0036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DEB"/>
    <w:multiLevelType w:val="hybridMultilevel"/>
    <w:tmpl w:val="0156AC2C"/>
    <w:lvl w:ilvl="0" w:tplc="CE0AE3CE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5FAF"/>
    <w:multiLevelType w:val="hybridMultilevel"/>
    <w:tmpl w:val="D32CC4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E5"/>
    <w:rsid w:val="000144B1"/>
    <w:rsid w:val="00022F5F"/>
    <w:rsid w:val="00032D68"/>
    <w:rsid w:val="00041661"/>
    <w:rsid w:val="000505EC"/>
    <w:rsid w:val="000654CA"/>
    <w:rsid w:val="0009372F"/>
    <w:rsid w:val="000B6477"/>
    <w:rsid w:val="000B7AF3"/>
    <w:rsid w:val="000D63D4"/>
    <w:rsid w:val="000F6090"/>
    <w:rsid w:val="000F6099"/>
    <w:rsid w:val="000F783B"/>
    <w:rsid w:val="00102217"/>
    <w:rsid w:val="001139FB"/>
    <w:rsid w:val="0012621E"/>
    <w:rsid w:val="00150DC1"/>
    <w:rsid w:val="00177A3C"/>
    <w:rsid w:val="001B0E49"/>
    <w:rsid w:val="001C05D4"/>
    <w:rsid w:val="0020208C"/>
    <w:rsid w:val="00251663"/>
    <w:rsid w:val="00251C6C"/>
    <w:rsid w:val="002573F9"/>
    <w:rsid w:val="002760DC"/>
    <w:rsid w:val="00281E23"/>
    <w:rsid w:val="00282FBA"/>
    <w:rsid w:val="002A06B4"/>
    <w:rsid w:val="002A3542"/>
    <w:rsid w:val="002C0175"/>
    <w:rsid w:val="00304053"/>
    <w:rsid w:val="00320CE5"/>
    <w:rsid w:val="00326B62"/>
    <w:rsid w:val="00350024"/>
    <w:rsid w:val="00364E65"/>
    <w:rsid w:val="00387CF0"/>
    <w:rsid w:val="00414564"/>
    <w:rsid w:val="00457E0F"/>
    <w:rsid w:val="00461DCC"/>
    <w:rsid w:val="004665A5"/>
    <w:rsid w:val="00482112"/>
    <w:rsid w:val="004A178C"/>
    <w:rsid w:val="004C4CAB"/>
    <w:rsid w:val="004D12DF"/>
    <w:rsid w:val="00514F1B"/>
    <w:rsid w:val="005243F9"/>
    <w:rsid w:val="00540F34"/>
    <w:rsid w:val="00543715"/>
    <w:rsid w:val="00544AA3"/>
    <w:rsid w:val="005A76F6"/>
    <w:rsid w:val="005B4EEA"/>
    <w:rsid w:val="005E1C6F"/>
    <w:rsid w:val="005E6E77"/>
    <w:rsid w:val="00660E4F"/>
    <w:rsid w:val="00685231"/>
    <w:rsid w:val="006A33BF"/>
    <w:rsid w:val="007A45C0"/>
    <w:rsid w:val="007E3189"/>
    <w:rsid w:val="00856BC8"/>
    <w:rsid w:val="008A53BD"/>
    <w:rsid w:val="008C09FA"/>
    <w:rsid w:val="008C6520"/>
    <w:rsid w:val="008D7F92"/>
    <w:rsid w:val="00925601"/>
    <w:rsid w:val="00950179"/>
    <w:rsid w:val="00982631"/>
    <w:rsid w:val="009C3D90"/>
    <w:rsid w:val="009C794E"/>
    <w:rsid w:val="009D74C5"/>
    <w:rsid w:val="009E3AC0"/>
    <w:rsid w:val="00A10A4B"/>
    <w:rsid w:val="00A173B3"/>
    <w:rsid w:val="00A457CE"/>
    <w:rsid w:val="00A5328D"/>
    <w:rsid w:val="00A73F63"/>
    <w:rsid w:val="00A76B2C"/>
    <w:rsid w:val="00A81418"/>
    <w:rsid w:val="00AA0D41"/>
    <w:rsid w:val="00AD0A77"/>
    <w:rsid w:val="00AE7D4C"/>
    <w:rsid w:val="00AF61E5"/>
    <w:rsid w:val="00B37004"/>
    <w:rsid w:val="00B42CD7"/>
    <w:rsid w:val="00B443A9"/>
    <w:rsid w:val="00BB00B1"/>
    <w:rsid w:val="00BD7B25"/>
    <w:rsid w:val="00BF1CC7"/>
    <w:rsid w:val="00C03C53"/>
    <w:rsid w:val="00C12A06"/>
    <w:rsid w:val="00C34CA4"/>
    <w:rsid w:val="00C70D60"/>
    <w:rsid w:val="00C81CCB"/>
    <w:rsid w:val="00C82919"/>
    <w:rsid w:val="00C95000"/>
    <w:rsid w:val="00D01D68"/>
    <w:rsid w:val="00D0764C"/>
    <w:rsid w:val="00D40F96"/>
    <w:rsid w:val="00DA203F"/>
    <w:rsid w:val="00DE14EB"/>
    <w:rsid w:val="00DF78D2"/>
    <w:rsid w:val="00E14218"/>
    <w:rsid w:val="00E63C02"/>
    <w:rsid w:val="00E81BDA"/>
    <w:rsid w:val="00E92B3F"/>
    <w:rsid w:val="00EA3467"/>
    <w:rsid w:val="00EB2DCE"/>
    <w:rsid w:val="00F1112C"/>
    <w:rsid w:val="00F33041"/>
    <w:rsid w:val="00F331E9"/>
    <w:rsid w:val="00FA4133"/>
    <w:rsid w:val="00FA65F0"/>
    <w:rsid w:val="00FC4DF2"/>
    <w:rsid w:val="00FD0C57"/>
    <w:rsid w:val="00FE2F9F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B1D97-DDD9-49D3-B0B2-89A07CC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E5"/>
  </w:style>
  <w:style w:type="table" w:styleId="TableGrid">
    <w:name w:val="Table Grid"/>
    <w:basedOn w:val="TableNormal"/>
    <w:uiPriority w:val="39"/>
    <w:rsid w:val="00320CE5"/>
    <w:pPr>
      <w:spacing w:after="0" w:line="240" w:lineRule="auto"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65"/>
  </w:style>
  <w:style w:type="paragraph" w:styleId="ListParagraph">
    <w:name w:val="List Paragraph"/>
    <w:basedOn w:val="Normal"/>
    <w:uiPriority w:val="34"/>
    <w:qFormat/>
    <w:rsid w:val="00251C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2D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9146-2494-46FB-8C3C-DDF33E98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Pop Georgieva</dc:creator>
  <cp:lastModifiedBy>Administrator</cp:lastModifiedBy>
  <cp:revision>2</cp:revision>
  <dcterms:created xsi:type="dcterms:W3CDTF">2021-09-18T13:39:00Z</dcterms:created>
  <dcterms:modified xsi:type="dcterms:W3CDTF">2021-09-18T13:39:00Z</dcterms:modified>
</cp:coreProperties>
</file>